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49BDFE1A"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General Curriculum M</w:t>
      </w:r>
      <w:r w:rsidR="00E43D5F">
        <w:rPr>
          <w:rFonts w:ascii="Arial" w:hAnsi="Arial" w:cs="Arial"/>
        </w:rPr>
        <w:t>athematics</w:t>
      </w:r>
      <w:r w:rsidR="00DA18A2">
        <w:rPr>
          <w:rFonts w:ascii="Arial" w:hAnsi="Arial" w:cs="Arial"/>
        </w:rPr>
        <w:t xml:space="preserve"> Subtest</w:t>
      </w:r>
      <w:r w:rsidR="003C29AD" w:rsidRPr="00A8204B">
        <w:rPr>
          <w:rFonts w:ascii="Arial" w:hAnsi="Arial" w:cs="Arial"/>
        </w:rPr>
        <w:t>—</w:t>
      </w:r>
      <w:r w:rsidR="003938FD">
        <w:rPr>
          <w:rFonts w:ascii="Arial" w:hAnsi="Arial" w:cs="Arial"/>
        </w:rPr>
        <w:t>Algebra as Generalized Arithmetic</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E50CC1">
        <w:rPr>
          <w:rFonts w:ascii="Arial" w:hAnsi="Arial" w:cs="Arial"/>
        </w:rPr>
        <w:t>20</w:t>
      </w:r>
      <w:r w:rsidRPr="00E62191">
        <w:rPr>
          <w:rFonts w:ascii="Arial" w:hAnsi="Arial" w:cs="Arial"/>
        </w:rPr>
        <w:t>)</w:t>
      </w:r>
      <w:r w:rsidR="00F26F57">
        <w:rPr>
          <w:rFonts w:ascii="Arial" w:hAnsi="Arial" w:cs="Arial"/>
        </w:rPr>
        <w:t xml:space="preserve"> </w:t>
      </w:r>
    </w:p>
    <w:p w14:paraId="3010B6E7" w14:textId="3EA373B1"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E50CC1">
        <w:rPr>
          <w:rFonts w:ascii="Arial" w:hAnsi="Arial" w:cs="Arial"/>
        </w:rPr>
        <w:t>20</w:t>
      </w:r>
      <w:r w:rsidRPr="00E62191">
        <w:rPr>
          <w:rFonts w:ascii="Arial" w:hAnsi="Arial" w:cs="Arial"/>
        </w:rPr>
        <w:t xml:space="preserve">: </w:t>
      </w:r>
      <w:r w:rsidR="003A0DA9" w:rsidRPr="003A0DA9">
        <w:rPr>
          <w:rFonts w:ascii="Arial" w:hAnsi="Arial" w:cs="Arial"/>
        </w:rPr>
        <w:t xml:space="preserve">Understand </w:t>
      </w:r>
      <w:r w:rsidR="00AE1C01">
        <w:rPr>
          <w:rFonts w:ascii="Arial" w:hAnsi="Arial" w:cs="Arial"/>
        </w:rPr>
        <w:t>algebra as generalized ari</w:t>
      </w:r>
      <w:r w:rsidR="003938FD">
        <w:rPr>
          <w:rFonts w:ascii="Arial" w:hAnsi="Arial" w:cs="Arial"/>
        </w:rPr>
        <w:t>thmetic</w:t>
      </w:r>
      <w:r w:rsidR="003A0DA9" w:rsidRPr="003A0DA9">
        <w:rPr>
          <w:rFonts w:ascii="Arial" w:hAnsi="Arial" w:cs="Arial"/>
        </w:rPr>
        <w:t>.</w:t>
      </w:r>
    </w:p>
    <w:p w14:paraId="58004643" w14:textId="4356BBF6" w:rsidR="0075733F" w:rsidRPr="008F2EFD" w:rsidRDefault="00D3436E" w:rsidP="003A0DA9">
      <w:pPr>
        <w:pStyle w:val="SectionHeader2"/>
        <w:rPr>
          <w:rFonts w:ascii="Arial" w:hAnsi="Arial"/>
          <w:b w:val="0"/>
          <w:bCs w:val="0"/>
          <w:color w:val="auto"/>
          <w:sz w:val="22"/>
          <w:szCs w:val="22"/>
        </w:rPr>
      </w:pPr>
      <w:r w:rsidRPr="008F2EFD">
        <w:rPr>
          <w:rFonts w:ascii="Arial" w:hAnsi="Arial"/>
          <w:b w:val="0"/>
          <w:bCs w:val="0"/>
          <w:color w:val="auto"/>
          <w:sz w:val="22"/>
          <w:szCs w:val="22"/>
        </w:rPr>
        <w:t>Objective 0020 includes the following descriptive statements</w:t>
      </w:r>
      <w:r w:rsidR="008F2EFD">
        <w:rPr>
          <w:rFonts w:ascii="Arial" w:hAnsi="Arial"/>
          <w:b w:val="0"/>
          <w:bCs w:val="0"/>
          <w:color w:val="auto"/>
          <w:sz w:val="22"/>
          <w:szCs w:val="22"/>
        </w:rPr>
        <w:t>:</w:t>
      </w:r>
    </w:p>
    <w:p w14:paraId="37FBEEE3" w14:textId="77777777" w:rsidR="00812A9A" w:rsidRPr="00812A9A" w:rsidRDefault="00812A9A" w:rsidP="008F2EFD">
      <w:pPr>
        <w:pStyle w:val="BoxNumberedList"/>
        <w:numPr>
          <w:ilvl w:val="0"/>
          <w:numId w:val="2"/>
        </w:numPr>
        <w:spacing w:before="60"/>
        <w:ind w:left="720"/>
        <w:rPr>
          <w:color w:val="000000"/>
          <w:szCs w:val="22"/>
        </w:rPr>
      </w:pPr>
      <w:r w:rsidRPr="00812A9A">
        <w:rPr>
          <w:color w:val="000000"/>
          <w:szCs w:val="22"/>
        </w:rPr>
        <w:t>Recognize and apply the concepts of variable, function, equality, and equation to express relationships algebraically.</w:t>
      </w:r>
    </w:p>
    <w:p w14:paraId="57085AAC" w14:textId="77777777" w:rsidR="00812A9A" w:rsidRPr="00812A9A" w:rsidRDefault="00812A9A" w:rsidP="008F2EFD">
      <w:pPr>
        <w:pStyle w:val="BoxNumberedList"/>
        <w:numPr>
          <w:ilvl w:val="0"/>
          <w:numId w:val="2"/>
        </w:numPr>
        <w:spacing w:before="60"/>
        <w:ind w:left="720"/>
        <w:rPr>
          <w:color w:val="000000"/>
          <w:szCs w:val="22"/>
        </w:rPr>
      </w:pPr>
      <w:r w:rsidRPr="00812A9A">
        <w:rPr>
          <w:color w:val="000000"/>
          <w:szCs w:val="22"/>
        </w:rPr>
        <w:t>Manipulate simple algebraic expressions and solve linear equations and inequalities.</w:t>
      </w:r>
    </w:p>
    <w:p w14:paraId="768B5B03" w14:textId="77777777" w:rsidR="00812A9A" w:rsidRPr="00812A9A" w:rsidRDefault="00812A9A" w:rsidP="008F2EFD">
      <w:pPr>
        <w:pStyle w:val="BoxNumberedList"/>
        <w:numPr>
          <w:ilvl w:val="0"/>
          <w:numId w:val="2"/>
        </w:numPr>
        <w:spacing w:before="60"/>
        <w:ind w:left="720"/>
        <w:rPr>
          <w:color w:val="000000"/>
          <w:szCs w:val="22"/>
        </w:rPr>
      </w:pPr>
      <w:r w:rsidRPr="00812A9A">
        <w:rPr>
          <w:color w:val="000000"/>
          <w:szCs w:val="22"/>
        </w:rPr>
        <w:t>Justify algebraic manipulations by application of the properties of equality, the order of operations, the number properties, and the order properties.</w:t>
      </w:r>
    </w:p>
    <w:p w14:paraId="5B2F7CD2" w14:textId="77777777" w:rsidR="00812A9A" w:rsidRPr="00812A9A" w:rsidRDefault="00812A9A" w:rsidP="008F2EFD">
      <w:pPr>
        <w:pStyle w:val="BoxNumberedList"/>
        <w:numPr>
          <w:ilvl w:val="0"/>
          <w:numId w:val="2"/>
        </w:numPr>
        <w:spacing w:before="60"/>
        <w:ind w:left="720"/>
        <w:rPr>
          <w:color w:val="000000"/>
          <w:szCs w:val="22"/>
        </w:rPr>
      </w:pPr>
      <w:r w:rsidRPr="00812A9A">
        <w:rPr>
          <w:color w:val="000000"/>
          <w:szCs w:val="22"/>
        </w:rPr>
        <w:t xml:space="preserve">Use algebra to solve word problems involving fractions, ratios, proportions, and </w:t>
      </w:r>
      <w:proofErr w:type="spellStart"/>
      <w:r w:rsidRPr="00812A9A">
        <w:rPr>
          <w:color w:val="000000"/>
          <w:szCs w:val="22"/>
        </w:rPr>
        <w:t>percents</w:t>
      </w:r>
      <w:proofErr w:type="spellEnd"/>
      <w:r w:rsidRPr="00812A9A">
        <w:rPr>
          <w:color w:val="000000"/>
          <w:szCs w:val="22"/>
        </w:rPr>
        <w:t>.</w:t>
      </w:r>
    </w:p>
    <w:p w14:paraId="526A9425" w14:textId="0414105D" w:rsidR="0075733F" w:rsidRPr="00F65B87" w:rsidRDefault="00812A9A" w:rsidP="008F2EFD">
      <w:pPr>
        <w:pStyle w:val="BoxNumberedList"/>
        <w:numPr>
          <w:ilvl w:val="0"/>
          <w:numId w:val="2"/>
        </w:numPr>
        <w:spacing w:before="60"/>
        <w:ind w:left="720"/>
        <w:rPr>
          <w:color w:val="000000"/>
          <w:sz w:val="20"/>
        </w:rPr>
      </w:pPr>
      <w:r w:rsidRPr="00812A9A">
        <w:rPr>
          <w:color w:val="000000"/>
          <w:szCs w:val="22"/>
        </w:rPr>
        <w:t>Identify variables and derive algebraic expressions that represent real-world situations</w:t>
      </w:r>
      <w:r w:rsidRPr="00812A9A">
        <w:rPr>
          <w:color w:val="000000"/>
          <w:sz w:val="20"/>
        </w:rPr>
        <w:t>.</w:t>
      </w:r>
    </w:p>
    <w:p w14:paraId="5DC24347" w14:textId="0B2F85C4"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General Curriculum </w:t>
      </w:r>
      <w:r w:rsidR="00D37343">
        <w:rPr>
          <w:rStyle w:val="normaltextrun"/>
          <w:rFonts w:ascii="Arial" w:hAnsi="Arial" w:cs="Arial"/>
          <w:sz w:val="22"/>
          <w:szCs w:val="22"/>
        </w:rPr>
        <w:t>Mathematics</w:t>
      </w:r>
      <w:r w:rsidR="00B50DFD">
        <w:rPr>
          <w:rStyle w:val="normaltextrun"/>
          <w:rFonts w:ascii="Arial" w:hAnsi="Arial" w:cs="Arial"/>
          <w:sz w:val="22"/>
          <w:szCs w:val="22"/>
        </w:rPr>
        <w:t xml:space="preserve">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General Curriculum </w:t>
      </w:r>
      <w:r w:rsidR="00D37343">
        <w:rPr>
          <w:rStyle w:val="normaltextrun"/>
          <w:rFonts w:ascii="Arial" w:hAnsi="Arial" w:cs="Arial"/>
          <w:sz w:val="22"/>
          <w:szCs w:val="22"/>
        </w:rPr>
        <w:t xml:space="preserve">Mathematics </w:t>
      </w:r>
      <w:r w:rsidR="00B50DFD">
        <w:rPr>
          <w:rStyle w:val="normaltextrun"/>
          <w:rFonts w:ascii="Arial" w:hAnsi="Arial" w:cs="Arial"/>
          <w:sz w:val="22"/>
          <w:szCs w:val="22"/>
        </w:rPr>
        <w:t>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1B3C3FBD" w:rsidR="00D74856" w:rsidRDefault="004F007C" w:rsidP="007F2F6A">
      <w:pPr>
        <w:pStyle w:val="Prompt"/>
      </w:pPr>
      <w:r>
        <w:t>2.</w:t>
      </w:r>
      <w:r w:rsidR="001A01B0" w:rsidRPr="00C00536">
        <w:tab/>
      </w:r>
      <w:r w:rsidR="00E11E84">
        <w:t xml:space="preserve">Indicate </w:t>
      </w:r>
      <w:r w:rsidR="005C75B4">
        <w:t xml:space="preserve">one or more of the below Critical Areas for instructional time found in the Massachusetts Mathematics </w:t>
      </w:r>
      <w:r w:rsidR="00CD37D7">
        <w:t>Curriculum Framework – 201</w:t>
      </w:r>
      <w:r w:rsidR="00E05EB2">
        <w:t>7</w:t>
      </w:r>
      <w:r w:rsidR="008238B4">
        <w:t xml:space="preserve"> to develop your topic and address the selected descriptive statements</w:t>
      </w:r>
      <w:r w:rsidR="008F2EFD">
        <w:t>:</w:t>
      </w:r>
    </w:p>
    <w:p w14:paraId="608E6CAF" w14:textId="079D42D1" w:rsidR="001A1000" w:rsidRDefault="001A1000" w:rsidP="008305B4">
      <w:pPr>
        <w:pStyle w:val="Prompt"/>
        <w:numPr>
          <w:ilvl w:val="0"/>
          <w:numId w:val="12"/>
        </w:numPr>
        <w:spacing w:before="0"/>
      </w:pPr>
      <w:r>
        <w:t>Grade 6 Critical Area #</w:t>
      </w:r>
      <w:r w:rsidR="009968C1">
        <w:t>3</w:t>
      </w:r>
      <w:r>
        <w:t xml:space="preserve"> (p. 54)</w:t>
      </w:r>
    </w:p>
    <w:p w14:paraId="647D6F9B" w14:textId="748858FC" w:rsidR="001A1000" w:rsidRDefault="001A1000" w:rsidP="008305B4">
      <w:pPr>
        <w:pStyle w:val="Prompt"/>
        <w:numPr>
          <w:ilvl w:val="0"/>
          <w:numId w:val="12"/>
        </w:numPr>
        <w:spacing w:before="0"/>
      </w:pPr>
      <w:r>
        <w:t>Grade 7 Critical Area</w:t>
      </w:r>
      <w:r w:rsidR="009968C1">
        <w:t>s</w:t>
      </w:r>
      <w:r>
        <w:t xml:space="preserve"> #1</w:t>
      </w:r>
      <w:r w:rsidR="009968C1">
        <w:t xml:space="preserve"> and #2</w:t>
      </w:r>
      <w:r>
        <w:t xml:space="preserve"> (p. 61)</w:t>
      </w:r>
    </w:p>
    <w:p w14:paraId="2DCAA653" w14:textId="252A8BE9" w:rsidR="0026025A" w:rsidRPr="004F007C" w:rsidRDefault="0026025A" w:rsidP="008305B4">
      <w:pPr>
        <w:pStyle w:val="Prompt"/>
        <w:numPr>
          <w:ilvl w:val="0"/>
          <w:numId w:val="12"/>
        </w:numPr>
        <w:spacing w:before="0"/>
      </w:pPr>
      <w:r>
        <w:t>Grade 8 Critical Areas #1 and #2 (p. 67)</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3DB9BAE4" w:rsidR="00E14DCF" w:rsidRDefault="001A01B0"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149CE85D"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C43989">
        <w:t>20</w:t>
      </w:r>
      <w:r w:rsidRPr="00C00536">
        <w:t>.</w:t>
      </w:r>
    </w:p>
    <w:p w14:paraId="0FE52664" w14:textId="7AC36FA2" w:rsidR="001A01B0" w:rsidRPr="00C00536" w:rsidRDefault="00E14DCF"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00E11E84">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D4ADA" w14:textId="77777777" w:rsidR="003140CC" w:rsidRDefault="003140CC" w:rsidP="00861839">
      <w:pPr>
        <w:spacing w:after="0"/>
      </w:pPr>
      <w:r>
        <w:separator/>
      </w:r>
    </w:p>
  </w:endnote>
  <w:endnote w:type="continuationSeparator" w:id="0">
    <w:p w14:paraId="72964512" w14:textId="77777777" w:rsidR="003140CC" w:rsidRDefault="003140CC"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B6CD" w14:textId="77777777"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Copyright © 2022 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9EA5E" w14:textId="77777777" w:rsidR="003140CC" w:rsidRDefault="003140CC" w:rsidP="00861839">
      <w:pPr>
        <w:spacing w:after="0"/>
      </w:pPr>
      <w:r>
        <w:separator/>
      </w:r>
    </w:p>
  </w:footnote>
  <w:footnote w:type="continuationSeparator" w:id="0">
    <w:p w14:paraId="707551C7" w14:textId="77777777" w:rsidR="003140CC" w:rsidRDefault="003140CC"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F6AE" w14:textId="77777777"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General Curriculum Mathematics Subtest</w:t>
    </w:r>
    <w:r w:rsidRPr="00C61BE4">
      <w:rPr>
        <w:rFonts w:ascii="Arial" w:hAnsi="Arial"/>
        <w:b/>
        <w:bCs/>
        <w:sz w:val="18"/>
        <w:szCs w:val="18"/>
      </w:rPr>
      <w:t xml:space="preserve"> Template: Objective </w:t>
    </w:r>
    <w:r>
      <w:rPr>
        <w:rFonts w:ascii="Arial" w:hAnsi="Arial"/>
        <w:b/>
        <w:bCs/>
        <w:sz w:val="18"/>
        <w:szCs w:val="18"/>
      </w:rPr>
      <w:t>0020</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6DB7BFF7"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DA18A2">
      <w:rPr>
        <w:rFonts w:ascii="Arial" w:hAnsi="Arial"/>
        <w:b/>
        <w:bCs/>
        <w:sz w:val="18"/>
        <w:szCs w:val="18"/>
      </w:rPr>
      <w:t xml:space="preserve">General Curriculum </w:t>
    </w:r>
    <w:r w:rsidR="00E43D5F">
      <w:rPr>
        <w:rFonts w:ascii="Arial" w:hAnsi="Arial"/>
        <w:b/>
        <w:bCs/>
        <w:sz w:val="18"/>
        <w:szCs w:val="18"/>
      </w:rPr>
      <w:t>Mathematics</w:t>
    </w:r>
    <w:r w:rsidR="00DA18A2">
      <w:rPr>
        <w:rFonts w:ascii="Arial" w:hAnsi="Arial"/>
        <w:b/>
        <w:bCs/>
        <w:sz w:val="18"/>
        <w:szCs w:val="18"/>
      </w:rPr>
      <w:t xml:space="preserve"> Subtest</w:t>
    </w:r>
    <w:r w:rsidRPr="00C61BE4">
      <w:rPr>
        <w:rFonts w:ascii="Arial" w:hAnsi="Arial"/>
        <w:b/>
        <w:bCs/>
        <w:sz w:val="18"/>
        <w:szCs w:val="18"/>
      </w:rPr>
      <w:t xml:space="preserve"> Template: Objective </w:t>
    </w:r>
    <w:r w:rsidR="00EC7A71">
      <w:rPr>
        <w:rFonts w:ascii="Arial" w:hAnsi="Arial"/>
        <w:b/>
        <w:bCs/>
        <w:sz w:val="18"/>
        <w:szCs w:val="18"/>
      </w:rPr>
      <w:t>00</w:t>
    </w:r>
    <w:r w:rsidR="00E50CC1">
      <w:rPr>
        <w:rFonts w:ascii="Arial" w:hAnsi="Arial"/>
        <w:b/>
        <w:bCs/>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3"/>
  </w:num>
  <w:num w:numId="4">
    <w:abstractNumId w:val="11"/>
  </w:num>
  <w:num w:numId="5">
    <w:abstractNumId w:val="4"/>
  </w:num>
  <w:num w:numId="6">
    <w:abstractNumId w:val="10"/>
  </w:num>
  <w:num w:numId="7">
    <w:abstractNumId w:val="8"/>
  </w:num>
  <w:num w:numId="8">
    <w:abstractNumId w:val="1"/>
  </w:num>
  <w:num w:numId="9">
    <w:abstractNumId w:val="2"/>
  </w:num>
  <w:num w:numId="10">
    <w:abstractNumId w:val="5"/>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56D6"/>
    <w:rsid w:val="000A1DDE"/>
    <w:rsid w:val="000A210C"/>
    <w:rsid w:val="000F7517"/>
    <w:rsid w:val="000F7BCF"/>
    <w:rsid w:val="0011605F"/>
    <w:rsid w:val="00131E5C"/>
    <w:rsid w:val="0019739C"/>
    <w:rsid w:val="001A01B0"/>
    <w:rsid w:val="001A1000"/>
    <w:rsid w:val="001A23E9"/>
    <w:rsid w:val="001C2484"/>
    <w:rsid w:val="001D4562"/>
    <w:rsid w:val="001D69BD"/>
    <w:rsid w:val="001E4472"/>
    <w:rsid w:val="001F08E3"/>
    <w:rsid w:val="00200383"/>
    <w:rsid w:val="00204A29"/>
    <w:rsid w:val="002073E7"/>
    <w:rsid w:val="00221821"/>
    <w:rsid w:val="0026025A"/>
    <w:rsid w:val="00282388"/>
    <w:rsid w:val="002859E8"/>
    <w:rsid w:val="002B10FA"/>
    <w:rsid w:val="002C2785"/>
    <w:rsid w:val="002F4C40"/>
    <w:rsid w:val="003140CC"/>
    <w:rsid w:val="003176B4"/>
    <w:rsid w:val="0033502B"/>
    <w:rsid w:val="00365F7F"/>
    <w:rsid w:val="003938FD"/>
    <w:rsid w:val="00395E9A"/>
    <w:rsid w:val="003A0B1A"/>
    <w:rsid w:val="003A0DA9"/>
    <w:rsid w:val="003C29AD"/>
    <w:rsid w:val="003C5687"/>
    <w:rsid w:val="00445952"/>
    <w:rsid w:val="004F007C"/>
    <w:rsid w:val="005C75B4"/>
    <w:rsid w:val="005D16D0"/>
    <w:rsid w:val="00603168"/>
    <w:rsid w:val="0062037F"/>
    <w:rsid w:val="00662978"/>
    <w:rsid w:val="00665061"/>
    <w:rsid w:val="0066716B"/>
    <w:rsid w:val="00675958"/>
    <w:rsid w:val="006B1CF2"/>
    <w:rsid w:val="00755354"/>
    <w:rsid w:val="0075733F"/>
    <w:rsid w:val="0078560B"/>
    <w:rsid w:val="007F2F6A"/>
    <w:rsid w:val="00812A9A"/>
    <w:rsid w:val="008238B4"/>
    <w:rsid w:val="00826BAD"/>
    <w:rsid w:val="008305B4"/>
    <w:rsid w:val="0084385E"/>
    <w:rsid w:val="00861839"/>
    <w:rsid w:val="008B17BD"/>
    <w:rsid w:val="008C1CD9"/>
    <w:rsid w:val="008C6C1E"/>
    <w:rsid w:val="008E784E"/>
    <w:rsid w:val="008F2EFD"/>
    <w:rsid w:val="009213C2"/>
    <w:rsid w:val="00932BBE"/>
    <w:rsid w:val="00933FE5"/>
    <w:rsid w:val="00945BEE"/>
    <w:rsid w:val="0095235A"/>
    <w:rsid w:val="009968C1"/>
    <w:rsid w:val="009A623F"/>
    <w:rsid w:val="009C33DF"/>
    <w:rsid w:val="009C69B2"/>
    <w:rsid w:val="009C79D8"/>
    <w:rsid w:val="009E008D"/>
    <w:rsid w:val="009F2BD8"/>
    <w:rsid w:val="009F3581"/>
    <w:rsid w:val="00A35B26"/>
    <w:rsid w:val="00A70941"/>
    <w:rsid w:val="00A8204B"/>
    <w:rsid w:val="00A85DEA"/>
    <w:rsid w:val="00AB0CF9"/>
    <w:rsid w:val="00AE1C01"/>
    <w:rsid w:val="00AF66FC"/>
    <w:rsid w:val="00B06499"/>
    <w:rsid w:val="00B50DFD"/>
    <w:rsid w:val="00BB5166"/>
    <w:rsid w:val="00BF2B8E"/>
    <w:rsid w:val="00C41463"/>
    <w:rsid w:val="00C43989"/>
    <w:rsid w:val="00C857BD"/>
    <w:rsid w:val="00CD37D7"/>
    <w:rsid w:val="00D03AA1"/>
    <w:rsid w:val="00D200E4"/>
    <w:rsid w:val="00D3436E"/>
    <w:rsid w:val="00D37343"/>
    <w:rsid w:val="00D53AD1"/>
    <w:rsid w:val="00D72DF4"/>
    <w:rsid w:val="00D74856"/>
    <w:rsid w:val="00DA18A2"/>
    <w:rsid w:val="00DC3FA1"/>
    <w:rsid w:val="00DC7AEF"/>
    <w:rsid w:val="00E05EB2"/>
    <w:rsid w:val="00E11E84"/>
    <w:rsid w:val="00E14DCF"/>
    <w:rsid w:val="00E178D7"/>
    <w:rsid w:val="00E43D5F"/>
    <w:rsid w:val="00E50CC1"/>
    <w:rsid w:val="00E73FFD"/>
    <w:rsid w:val="00E81BE3"/>
    <w:rsid w:val="00EC7A71"/>
    <w:rsid w:val="00ED2DCC"/>
    <w:rsid w:val="00EF5E55"/>
    <w:rsid w:val="00EF6051"/>
    <w:rsid w:val="00F26F57"/>
    <w:rsid w:val="00F65B87"/>
    <w:rsid w:val="00F71907"/>
    <w:rsid w:val="00F76457"/>
    <w:rsid w:val="00F91D10"/>
    <w:rsid w:val="00FD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15</cp:revision>
  <dcterms:created xsi:type="dcterms:W3CDTF">2021-11-19T21:07:00Z</dcterms:created>
  <dcterms:modified xsi:type="dcterms:W3CDTF">2021-12-17T19:51:00Z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